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13" w:lineRule="auto"/>
        <w:jc w:val="center"/>
        <w:rPr>
          <w:rFonts w:hint="eastAsia" w:ascii="宋体" w:hAnsi="宋体" w:eastAsia="宋体" w:cs="宋体"/>
        </w:rPr>
      </w:pPr>
      <w:bookmarkStart w:id="0" w:name="_Toc45786527"/>
      <w:bookmarkStart w:id="1" w:name="_Toc225736620"/>
      <w:r>
        <w:rPr>
          <w:rFonts w:hint="eastAsia" w:ascii="宋体" w:hAnsi="宋体" w:eastAsia="宋体" w:cs="宋体"/>
        </w:rPr>
        <w:t>一、采购需求一览表</w:t>
      </w:r>
      <w:bookmarkEnd w:id="0"/>
      <w:bookmarkEnd w:id="1"/>
    </w:p>
    <w:tbl>
      <w:tblPr>
        <w:tblStyle w:val="12"/>
        <w:tblW w:w="8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4" w:hRule="atLeast"/>
          <w:jc w:val="center"/>
        </w:trPr>
        <w:tc>
          <w:tcPr>
            <w:tcW w:w="2835" w:type="dxa"/>
            <w:tcBorders>
              <w:top w:val="single" w:color="auto" w:sz="12" w:space="0"/>
              <w:left w:val="single" w:color="auto" w:sz="12" w:space="0"/>
            </w:tcBorders>
            <w:vAlign w:val="top"/>
          </w:tcPr>
          <w:p>
            <w:pPr>
              <w:spacing w:line="500" w:lineRule="atLeast"/>
              <w:rPr>
                <w:rFonts w:hint="eastAsia" w:ascii="宋体" w:hAnsi="宋体" w:eastAsia="宋体" w:cs="宋体"/>
                <w:color w:val="000000"/>
                <w:sz w:val="24"/>
                <w:szCs w:val="24"/>
              </w:rPr>
            </w:pPr>
            <w:r>
              <w:rPr>
                <w:rFonts w:hint="eastAsia" w:ascii="宋体" w:hAnsi="宋体" w:eastAsia="宋体" w:cs="宋体"/>
                <w:color w:val="000000"/>
                <w:sz w:val="24"/>
                <w:szCs w:val="24"/>
              </w:rPr>
              <mc:AlternateContent>
                <mc:Choice Requires="wpg">
                  <w:drawing>
                    <wp:anchor distT="0" distB="0" distL="114300" distR="114300" simplePos="0" relativeHeight="251659264" behindDoc="0" locked="0" layoutInCell="1" allowOverlap="1">
                      <wp:simplePos x="0" y="0"/>
                      <wp:positionH relativeFrom="column">
                        <wp:posOffset>-59055</wp:posOffset>
                      </wp:positionH>
                      <wp:positionV relativeFrom="paragraph">
                        <wp:posOffset>0</wp:posOffset>
                      </wp:positionV>
                      <wp:extent cx="1781175" cy="1479550"/>
                      <wp:effectExtent l="3175" t="3810" r="6350" b="21590"/>
                      <wp:wrapNone/>
                      <wp:docPr id="8" name="组合 8"/>
                      <wp:cNvGraphicFramePr/>
                      <a:graphic xmlns:a="http://schemas.openxmlformats.org/drawingml/2006/main">
                        <a:graphicData uri="http://schemas.microsoft.com/office/word/2010/wordprocessingGroup">
                          <wpg:wgp>
                            <wpg:cNvGrpSpPr/>
                            <wpg:grpSpPr>
                              <a:xfrm>
                                <a:off x="0" y="0"/>
                                <a:ext cx="1781175" cy="1479550"/>
                                <a:chOff x="1716" y="3057"/>
                                <a:chExt cx="2805" cy="2330"/>
                              </a:xfrm>
                            </wpg:grpSpPr>
                            <wps:wsp>
                              <wps:cNvPr id="1" name="直接连接符 1"/>
                              <wps:cNvCnPr/>
                              <wps:spPr>
                                <a:xfrm>
                                  <a:off x="1716" y="3057"/>
                                  <a:ext cx="2805" cy="2330"/>
                                </a:xfrm>
                                <a:prstGeom prst="line">
                                  <a:avLst/>
                                </a:prstGeom>
                                <a:ln w="6350" cap="flat" cmpd="sng">
                                  <a:solidFill>
                                    <a:srgbClr val="000000"/>
                                  </a:solidFill>
                                  <a:prstDash val="solid"/>
                                  <a:headEnd type="none" w="med" len="med"/>
                                  <a:tailEnd type="none" w="med" len="med"/>
                                </a:ln>
                              </wps:spPr>
                              <wps:bodyPr upright="1"/>
                            </wps:wsp>
                            <wps:wsp>
                              <wps:cNvPr id="2" name="文本框 2"/>
                              <wps:cNvSpPr txBox="1"/>
                              <wps:spPr>
                                <a:xfrm>
                                  <a:off x="2769" y="3199"/>
                                  <a:ext cx="300" cy="300"/>
                                </a:xfrm>
                                <a:prstGeom prst="rect">
                                  <a:avLst/>
                                </a:prstGeom>
                                <a:noFill/>
                                <a:ln>
                                  <a:noFill/>
                                </a:ln>
                              </wps:spPr>
                              <wps:txbx>
                                <w:txbxContent>
                                  <w:p>
                                    <w:pPr>
                                      <w:snapToGrid w:val="0"/>
                                      <w:rPr>
                                        <w:sz w:val="24"/>
                                      </w:rPr>
                                    </w:pPr>
                                    <w:r>
                                      <w:rPr>
                                        <w:rFonts w:hint="eastAsia"/>
                                        <w:sz w:val="24"/>
                                      </w:rPr>
                                      <w:t>采</w:t>
                                    </w:r>
                                  </w:p>
                                </w:txbxContent>
                              </wps:txbx>
                              <wps:bodyPr wrap="square" lIns="0" tIns="0" rIns="0" bIns="0" upright="1"/>
                            </wps:wsp>
                            <wps:wsp>
                              <wps:cNvPr id="3" name="文本框 3"/>
                              <wps:cNvSpPr txBox="1"/>
                              <wps:spPr>
                                <a:xfrm>
                                  <a:off x="3184" y="3544"/>
                                  <a:ext cx="300" cy="300"/>
                                </a:xfrm>
                                <a:prstGeom prst="rect">
                                  <a:avLst/>
                                </a:prstGeom>
                                <a:noFill/>
                                <a:ln>
                                  <a:noFill/>
                                </a:ln>
                              </wps:spPr>
                              <wps:txbx>
                                <w:txbxContent>
                                  <w:p>
                                    <w:pPr>
                                      <w:snapToGrid w:val="0"/>
                                      <w:rPr>
                                        <w:sz w:val="24"/>
                                      </w:rPr>
                                    </w:pPr>
                                    <w:r>
                                      <w:rPr>
                                        <w:rFonts w:hint="eastAsia"/>
                                        <w:sz w:val="24"/>
                                      </w:rPr>
                                      <w:t>购</w:t>
                                    </w:r>
                                  </w:p>
                                </w:txbxContent>
                              </wps:txbx>
                              <wps:bodyPr wrap="square" lIns="0" tIns="0" rIns="0" bIns="0" upright="1"/>
                            </wps:wsp>
                            <wps:wsp>
                              <wps:cNvPr id="4" name="文本框 4"/>
                              <wps:cNvSpPr txBox="1"/>
                              <wps:spPr>
                                <a:xfrm>
                                  <a:off x="3599" y="3888"/>
                                  <a:ext cx="300" cy="300"/>
                                </a:xfrm>
                                <a:prstGeom prst="rect">
                                  <a:avLst/>
                                </a:prstGeom>
                                <a:noFill/>
                                <a:ln>
                                  <a:noFill/>
                                </a:ln>
                              </wps:spPr>
                              <wps:txbx>
                                <w:txbxContent>
                                  <w:p>
                                    <w:pPr>
                                      <w:snapToGrid w:val="0"/>
                                      <w:rPr>
                                        <w:sz w:val="24"/>
                                      </w:rPr>
                                    </w:pPr>
                                    <w:r>
                                      <w:rPr>
                                        <w:rFonts w:hint="eastAsia"/>
                                        <w:sz w:val="24"/>
                                      </w:rPr>
                                      <w:t>名</w:t>
                                    </w:r>
                                  </w:p>
                                </w:txbxContent>
                              </wps:txbx>
                              <wps:bodyPr wrap="square" lIns="0" tIns="0" rIns="0" bIns="0" upright="1"/>
                            </wps:wsp>
                            <wps:wsp>
                              <wps:cNvPr id="5" name="文本框 5"/>
                              <wps:cNvSpPr txBox="1"/>
                              <wps:spPr>
                                <a:xfrm>
                                  <a:off x="4014" y="4233"/>
                                  <a:ext cx="300" cy="300"/>
                                </a:xfrm>
                                <a:prstGeom prst="rect">
                                  <a:avLst/>
                                </a:prstGeom>
                                <a:noFill/>
                                <a:ln>
                                  <a:noFill/>
                                </a:ln>
                              </wps:spPr>
                              <wps:txbx>
                                <w:txbxContent>
                                  <w:p>
                                    <w:pPr>
                                      <w:snapToGrid w:val="0"/>
                                      <w:rPr>
                                        <w:sz w:val="24"/>
                                      </w:rPr>
                                    </w:pPr>
                                    <w:r>
                                      <w:rPr>
                                        <w:rFonts w:hint="eastAsia"/>
                                        <w:sz w:val="24"/>
                                      </w:rPr>
                                      <w:t>称</w:t>
                                    </w:r>
                                  </w:p>
                                </w:txbxContent>
                              </wps:txbx>
                              <wps:bodyPr wrap="square" lIns="0" tIns="0" rIns="0" bIns="0" upright="1"/>
                            </wps:wsp>
                            <wps:wsp>
                              <wps:cNvPr id="6" name="文本框 6"/>
                              <wps:cNvSpPr txBox="1"/>
                              <wps:spPr>
                                <a:xfrm>
                                  <a:off x="2140" y="4061"/>
                                  <a:ext cx="300" cy="300"/>
                                </a:xfrm>
                                <a:prstGeom prst="rect">
                                  <a:avLst/>
                                </a:prstGeom>
                                <a:noFill/>
                                <a:ln>
                                  <a:noFill/>
                                </a:ln>
                              </wps:spPr>
                              <wps:txbx>
                                <w:txbxContent>
                                  <w:p>
                                    <w:pPr>
                                      <w:snapToGrid w:val="0"/>
                                      <w:rPr>
                                        <w:sz w:val="24"/>
                                      </w:rPr>
                                    </w:pPr>
                                    <w:r>
                                      <w:rPr>
                                        <w:rFonts w:hint="eastAsia"/>
                                        <w:sz w:val="24"/>
                                      </w:rPr>
                                      <w:t>内</w:t>
                                    </w:r>
                                  </w:p>
                                </w:txbxContent>
                              </wps:txbx>
                              <wps:bodyPr wrap="square" lIns="0" tIns="0" rIns="0" bIns="0" upright="1"/>
                            </wps:wsp>
                            <wps:wsp>
                              <wps:cNvPr id="7" name="文本框 7"/>
                              <wps:cNvSpPr txBox="1"/>
                              <wps:spPr>
                                <a:xfrm>
                                  <a:off x="2987" y="4765"/>
                                  <a:ext cx="300" cy="300"/>
                                </a:xfrm>
                                <a:prstGeom prst="rect">
                                  <a:avLst/>
                                </a:prstGeom>
                                <a:noFill/>
                                <a:ln>
                                  <a:noFill/>
                                </a:ln>
                              </wps:spPr>
                              <wps:txbx>
                                <w:txbxContent>
                                  <w:p>
                                    <w:pPr>
                                      <w:snapToGrid w:val="0"/>
                                      <w:rPr>
                                        <w:sz w:val="24"/>
                                      </w:rPr>
                                    </w:pPr>
                                    <w:r>
                                      <w:rPr>
                                        <w:rFonts w:hint="eastAsia"/>
                                        <w:sz w:val="24"/>
                                      </w:rPr>
                                      <w:t>容</w:t>
                                    </w:r>
                                  </w:p>
                                </w:txbxContent>
                              </wps:txbx>
                              <wps:bodyPr wrap="square" lIns="0" tIns="0" rIns="0" bIns="0" upright="1"/>
                            </wps:wsp>
                          </wpg:wgp>
                        </a:graphicData>
                      </a:graphic>
                    </wp:anchor>
                  </w:drawing>
                </mc:Choice>
                <mc:Fallback>
                  <w:pict>
                    <v:group id="_x0000_s1026" o:spid="_x0000_s1026" o:spt="203" style="position:absolute;left:0pt;margin-left:-4.65pt;margin-top:0pt;height:116.5pt;width:140.25pt;z-index:251659264;mso-width-relative:page;mso-height-relative:page;" coordorigin="1716,3057" coordsize="2805,2330" o:gfxdata="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FuQZBXYAAAABwEAAA8AAAAAAAAAAQAgAAAAIgAAAGRycy9kb3ducmV2LnhtbFBL&#10;AQIUABQAAAAIAIdO4kBKNn39TAMAAJMOAAAOAAAAAAAAAAEAIAAAACcBAABkcnMvZTJvRG9jLnht&#10;bFBLBQYAAAAABgAGAFkBAADlBgAAAAA=&#10;">
                      <o:lock v:ext="edit" aspectratio="f"/>
                      <v:line id="_x0000_s1026" o:spid="_x0000_s1026" o:spt="20" style="position:absolute;left:1716;top:3057;height:2330;width:2805;" filled="f" stroked="t" coordsize="21600,21600" o:gfxdata="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wcIfbgAAADaAAAA&#10;DwAAAAAAAAABACAAAAAiAAAAZHJzL2Rvd25yZXYueG1sUEsBAhQAFAAAAAgAh07iQDMvBZ47AAAA&#10;OQAAABAAAAAAAAAAAQAgAAAABwEAAGRycy9zaGFwZXhtbC54bWxQSwUGAAAAAAYABgBbAQAAsQMA&#10;AAAA&#10;">
                        <v:fill on="f" focussize="0,0"/>
                        <v:stroke weight="0.5pt" color="#000000" joinstyle="round"/>
                        <v:imagedata o:title=""/>
                        <o:lock v:ext="edit" aspectratio="f"/>
                      </v:line>
                      <v:shape id="_x0000_s1026" o:spid="_x0000_s1026" o:spt="202" type="#_x0000_t202" style="position:absolute;left:2769;top:3199;height:300;width:300;" filled="f" stroked="f" coordsize="21600,21600" o:gfxdata="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pV0I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采</w:t>
                              </w:r>
                            </w:p>
                          </w:txbxContent>
                        </v:textbox>
                      </v:shape>
                      <v:shape id="_x0000_s1026" o:spid="_x0000_s1026" o:spt="202" type="#_x0000_t202" style="position:absolute;left:3184;top:3544;height:300;width:300;"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购</w:t>
                              </w:r>
                            </w:p>
                          </w:txbxContent>
                        </v:textbox>
                      </v:shape>
                      <v:shape id="_x0000_s1026" o:spid="_x0000_s1026" o:spt="202" type="#_x0000_t202" style="position:absolute;left:3599;top:3888;height:300;width:300;"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名</w:t>
                              </w:r>
                            </w:p>
                          </w:txbxContent>
                        </v:textbox>
                      </v:shape>
                      <v:shape id="_x0000_s1026" o:spid="_x0000_s1026" o:spt="202" type="#_x0000_t202" style="position:absolute;left:4014;top:4233;height:300;width:300;"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称</w:t>
                              </w:r>
                            </w:p>
                          </w:txbxContent>
                        </v:textbox>
                      </v:shape>
                      <v:shape id="_x0000_s1026" o:spid="_x0000_s1026" o:spt="202" type="#_x0000_t202" style="position:absolute;left:2140;top:4061;height:300;width:300;"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rPr>
                                  <w:sz w:val="24"/>
                                </w:rPr>
                              </w:pPr>
                              <w:r>
                                <w:rPr>
                                  <w:rFonts w:hint="eastAsia"/>
                                  <w:sz w:val="24"/>
                                </w:rPr>
                                <w:t>内</w:t>
                              </w:r>
                            </w:p>
                          </w:txbxContent>
                        </v:textbox>
                      </v:shape>
                      <v:shape id="_x0000_s1026" o:spid="_x0000_s1026" o:spt="202" type="#_x0000_t202" style="position:absolute;left:2987;top:4765;height:300;width:300;"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rPr>
                                  <w:sz w:val="24"/>
                                </w:rPr>
                              </w:pPr>
                              <w:r>
                                <w:rPr>
                                  <w:rFonts w:hint="eastAsia"/>
                                  <w:sz w:val="24"/>
                                </w:rPr>
                                <w:t>容</w:t>
                              </w:r>
                            </w:p>
                          </w:txbxContent>
                        </v:textbox>
                      </v:shape>
                    </v:group>
                  </w:pict>
                </mc:Fallback>
              </mc:AlternateContent>
            </w:r>
          </w:p>
        </w:tc>
        <w:tc>
          <w:tcPr>
            <w:tcW w:w="5805" w:type="dxa"/>
            <w:tcBorders>
              <w:top w:val="single" w:color="auto" w:sz="12" w:space="0"/>
              <w:right w:val="single" w:color="auto" w:sz="12" w:space="0"/>
            </w:tcBorders>
            <w:vAlign w:val="center"/>
          </w:tcPr>
          <w:p>
            <w:pPr>
              <w:spacing w:line="500" w:lineRule="atLeast"/>
              <w:jc w:val="center"/>
              <w:rPr>
                <w:rFonts w:hint="eastAsia" w:ascii="宋体" w:hAnsi="宋体" w:eastAsia="宋体" w:cs="宋体"/>
                <w:color w:val="000000"/>
                <w:sz w:val="24"/>
                <w:szCs w:val="24"/>
                <w:lang w:eastAsia="zh-CN"/>
              </w:rPr>
            </w:pPr>
            <w:r>
              <w:rPr>
                <w:rFonts w:hint="eastAsia" w:ascii="宋体" w:hAnsi="宋体" w:eastAsia="宋体" w:cs="宋体"/>
                <w:color w:val="000000"/>
                <w:sz w:val="24"/>
                <w:highlight w:val="none"/>
              </w:rPr>
              <w:t>财政预算一体化升级及接口服务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2835" w:type="dxa"/>
            <w:tcBorders>
              <w:left w:val="single" w:color="auto" w:sz="12" w:space="0"/>
            </w:tcBorders>
            <w:vAlign w:val="center"/>
          </w:tcPr>
          <w:p>
            <w:pPr>
              <w:spacing w:line="50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 量</w:t>
            </w:r>
          </w:p>
        </w:tc>
        <w:tc>
          <w:tcPr>
            <w:tcW w:w="5805" w:type="dxa"/>
            <w:tcBorders>
              <w:right w:val="single" w:color="auto" w:sz="12" w:space="0"/>
            </w:tcBorders>
            <w:vAlign w:val="center"/>
          </w:tcPr>
          <w:p>
            <w:pPr>
              <w:spacing w:line="50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2835" w:type="dxa"/>
            <w:tcBorders>
              <w:left w:val="single" w:color="auto" w:sz="12" w:space="0"/>
            </w:tcBorders>
            <w:vAlign w:val="center"/>
          </w:tcPr>
          <w:p>
            <w:pPr>
              <w:spacing w:line="50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服务期</w:t>
            </w:r>
          </w:p>
        </w:tc>
        <w:tc>
          <w:tcPr>
            <w:tcW w:w="5805" w:type="dxa"/>
            <w:tcBorders>
              <w:right w:val="single" w:color="auto" w:sz="12" w:space="0"/>
            </w:tcBorders>
            <w:vAlign w:val="center"/>
          </w:tcPr>
          <w:p>
            <w:pPr>
              <w:spacing w:line="50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合同签订后30天内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2835" w:type="dxa"/>
            <w:tcBorders>
              <w:left w:val="single" w:color="auto" w:sz="12" w:space="0"/>
            </w:tcBorders>
            <w:vAlign w:val="center"/>
          </w:tcPr>
          <w:p>
            <w:pPr>
              <w:spacing w:line="50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服务地点</w:t>
            </w:r>
          </w:p>
        </w:tc>
        <w:tc>
          <w:tcPr>
            <w:tcW w:w="5805" w:type="dxa"/>
            <w:tcBorders>
              <w:right w:val="single" w:color="auto" w:sz="12" w:space="0"/>
            </w:tcBorders>
            <w:vAlign w:val="center"/>
          </w:tcPr>
          <w:p>
            <w:pPr>
              <w:spacing w:line="500" w:lineRule="atLeast"/>
              <w:ind w:left="480" w:hanging="480" w:hangingChars="200"/>
              <w:jc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南昌经济技术开发区人民医院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2835" w:type="dxa"/>
            <w:tcBorders>
              <w:left w:val="single" w:color="auto" w:sz="12" w:space="0"/>
            </w:tcBorders>
            <w:vAlign w:val="center"/>
          </w:tcPr>
          <w:p>
            <w:pPr>
              <w:spacing w:line="500"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c>
          <w:tcPr>
            <w:tcW w:w="5805" w:type="dxa"/>
            <w:tcBorders>
              <w:right w:val="single" w:color="auto" w:sz="12" w:space="0"/>
            </w:tcBorders>
            <w:vAlign w:val="center"/>
          </w:tcPr>
          <w:p>
            <w:pPr>
              <w:numPr>
                <w:ilvl w:val="0"/>
                <w:numId w:val="0"/>
              </w:numPr>
              <w:spacing w:line="500" w:lineRule="atLeast"/>
              <w:rPr>
                <w:rFonts w:hint="eastAsia"/>
              </w:rPr>
            </w:pPr>
            <w:r>
              <w:rPr>
                <w:rFonts w:hint="eastAsia"/>
                <w:lang w:val="en-US" w:eastAsia="zh-CN"/>
              </w:rPr>
              <w:t>1、</w:t>
            </w:r>
            <w:r>
              <w:rPr>
                <w:rFonts w:hint="eastAsia"/>
              </w:rPr>
              <w:t>按照《江西省财政厅关于进一步做好预算管理一体化单位会计核算工作的通知》要求（赣财办【2021】16号）各预算单位会计核算纳入财政部门预算一体化系统管理，需要对财务核算系统进行升级和更新，将会计核算信息发送至财政部门预算管理一体化系统。</w:t>
            </w:r>
          </w:p>
          <w:p>
            <w:pPr>
              <w:numPr>
                <w:ilvl w:val="0"/>
                <w:numId w:val="0"/>
              </w:numPr>
              <w:spacing w:line="500" w:lineRule="atLeast"/>
              <w:rPr>
                <w:rFonts w:hint="eastAsia"/>
              </w:rPr>
            </w:pPr>
            <w:r>
              <w:rPr>
                <w:rFonts w:hint="eastAsia"/>
                <w:lang w:val="en-US" w:eastAsia="zh-CN"/>
              </w:rPr>
              <w:t>2、</w:t>
            </w:r>
            <w:r>
              <w:rPr>
                <w:rFonts w:hint="eastAsia"/>
              </w:rPr>
              <w:t>服务范围包含</w:t>
            </w:r>
          </w:p>
          <w:p>
            <w:pPr>
              <w:numPr>
                <w:ilvl w:val="0"/>
                <w:numId w:val="0"/>
              </w:numPr>
              <w:spacing w:line="500" w:lineRule="atLeast"/>
              <w:rPr>
                <w:rFonts w:hint="eastAsia"/>
              </w:rPr>
            </w:pPr>
            <w:r>
              <w:rPr>
                <w:rFonts w:hint="eastAsia"/>
              </w:rPr>
              <w:t>财政预算一体化会计核算软件升级及接口</w:t>
            </w:r>
          </w:p>
        </w:tc>
      </w:tr>
    </w:tbl>
    <w:p>
      <w:pPr>
        <w:spacing w:line="500" w:lineRule="atLeast"/>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pStyle w:val="2"/>
        <w:spacing w:line="413" w:lineRule="auto"/>
        <w:jc w:val="center"/>
        <w:rPr>
          <w:rFonts w:hint="eastAsia" w:ascii="宋体" w:hAnsi="宋体" w:eastAsia="宋体" w:cs="宋体"/>
        </w:rPr>
      </w:pPr>
      <w:r>
        <w:rPr>
          <w:rFonts w:hint="eastAsia" w:ascii="宋体" w:hAnsi="宋体" w:eastAsia="宋体" w:cs="宋体"/>
        </w:rPr>
        <w:t>二、申请人的资格要求</w:t>
      </w:r>
    </w:p>
    <w:p>
      <w:pPr>
        <w:spacing w:before="260" w:line="184" w:lineRule="auto"/>
        <w:ind w:firstLine="368"/>
        <w:rPr>
          <w:rFonts w:hint="eastAsia" w:ascii="宋体" w:hAnsi="宋体" w:eastAsia="宋体" w:cs="宋体"/>
          <w:spacing w:val="-6"/>
          <w:sz w:val="24"/>
          <w:szCs w:val="24"/>
          <w:shd w:val="clear" w:fill="FFFFFE"/>
        </w:rPr>
      </w:pPr>
    </w:p>
    <w:p>
      <w:pPr>
        <w:spacing w:before="260" w:line="184" w:lineRule="auto"/>
        <w:ind w:firstLine="368"/>
        <w:rPr>
          <w:rFonts w:hint="eastAsia" w:ascii="宋体" w:hAnsi="宋体" w:eastAsia="宋体" w:cs="宋体"/>
          <w:sz w:val="24"/>
          <w:szCs w:val="24"/>
        </w:rPr>
      </w:pPr>
      <w:r>
        <w:rPr>
          <w:rFonts w:hint="eastAsia" w:ascii="宋体" w:hAnsi="宋体" w:eastAsia="宋体" w:cs="宋体"/>
          <w:spacing w:val="-6"/>
          <w:sz w:val="24"/>
          <w:szCs w:val="24"/>
          <w:shd w:val="clear" w:fill="FFFFFE"/>
        </w:rPr>
        <w:t>1.满足《中华人民共和国政府采购法》</w:t>
      </w:r>
      <w:r>
        <w:rPr>
          <w:rFonts w:hint="eastAsia" w:ascii="宋体" w:hAnsi="宋体" w:eastAsia="宋体" w:cs="宋体"/>
          <w:spacing w:val="2"/>
          <w:sz w:val="24"/>
          <w:szCs w:val="24"/>
          <w:shd w:val="clear" w:fill="FFFFFE"/>
        </w:rPr>
        <w:t xml:space="preserve"> </w:t>
      </w:r>
      <w:r>
        <w:rPr>
          <w:rFonts w:hint="eastAsia" w:ascii="宋体" w:hAnsi="宋体" w:eastAsia="宋体" w:cs="宋体"/>
          <w:spacing w:val="-6"/>
          <w:sz w:val="24"/>
          <w:szCs w:val="24"/>
          <w:shd w:val="clear" w:fill="FFFFFE"/>
        </w:rPr>
        <w:t>第二十二条规定</w:t>
      </w:r>
    </w:p>
    <w:p>
      <w:pPr>
        <w:spacing w:before="262" w:line="240" w:lineRule="auto"/>
        <w:ind w:firstLine="717"/>
        <w:rPr>
          <w:rFonts w:hint="eastAsia" w:ascii="宋体" w:hAnsi="宋体" w:eastAsia="宋体" w:cs="宋体"/>
          <w:sz w:val="24"/>
          <w:szCs w:val="24"/>
        </w:rPr>
      </w:pPr>
      <w:r>
        <w:rPr>
          <w:rFonts w:hint="eastAsia" w:ascii="宋体" w:hAnsi="宋体" w:eastAsia="宋体" w:cs="宋体"/>
          <w:spacing w:val="-9"/>
          <w:sz w:val="24"/>
          <w:szCs w:val="24"/>
          <w:shd w:val="clear" w:fill="FFFFFE"/>
        </w:rPr>
        <w:t>（1）</w:t>
      </w:r>
      <w:r>
        <w:rPr>
          <w:rFonts w:hint="eastAsia" w:ascii="宋体" w:hAnsi="宋体" w:eastAsia="宋体" w:cs="宋体"/>
          <w:spacing w:val="17"/>
          <w:sz w:val="24"/>
          <w:szCs w:val="24"/>
          <w:shd w:val="clear" w:fill="FFFFFE"/>
        </w:rPr>
        <w:t xml:space="preserve"> </w:t>
      </w:r>
      <w:r>
        <w:rPr>
          <w:rFonts w:hint="eastAsia" w:ascii="宋体" w:hAnsi="宋体" w:eastAsia="宋体" w:cs="宋体"/>
          <w:spacing w:val="-9"/>
          <w:sz w:val="24"/>
          <w:szCs w:val="24"/>
          <w:shd w:val="clear" w:fill="FFFFFE"/>
        </w:rPr>
        <w:t>具有独立承担民事责任的能力；</w:t>
      </w:r>
    </w:p>
    <w:p>
      <w:pPr>
        <w:spacing w:before="262" w:line="240" w:lineRule="auto"/>
        <w:ind w:firstLine="717"/>
        <w:rPr>
          <w:rFonts w:hint="eastAsia" w:ascii="宋体" w:hAnsi="宋体" w:eastAsia="宋体" w:cs="宋体"/>
          <w:spacing w:val="-6"/>
          <w:sz w:val="24"/>
          <w:szCs w:val="24"/>
          <w:shd w:val="clear" w:fill="FFFFFE"/>
        </w:rPr>
      </w:pPr>
      <w:r>
        <w:rPr>
          <w:rFonts w:hint="eastAsia" w:ascii="宋体" w:hAnsi="宋体" w:eastAsia="宋体" w:cs="宋体"/>
          <w:spacing w:val="-6"/>
          <w:sz w:val="24"/>
          <w:szCs w:val="24"/>
          <w:shd w:val="clear" w:fill="FFFFFE"/>
        </w:rPr>
        <w:t>（2） 具有良好的商业信誉和健全的财务会计制度；</w:t>
      </w:r>
    </w:p>
    <w:p>
      <w:pPr>
        <w:spacing w:before="262" w:line="240" w:lineRule="auto"/>
        <w:ind w:firstLine="717"/>
        <w:rPr>
          <w:rFonts w:hint="eastAsia" w:ascii="宋体" w:hAnsi="宋体" w:eastAsia="宋体" w:cs="宋体"/>
          <w:spacing w:val="-6"/>
          <w:sz w:val="24"/>
          <w:szCs w:val="24"/>
          <w:shd w:val="clear" w:fill="FFFFFE"/>
        </w:rPr>
      </w:pPr>
      <w:r>
        <w:rPr>
          <w:rFonts w:hint="eastAsia" w:ascii="宋体" w:hAnsi="宋体" w:eastAsia="宋体" w:cs="宋体"/>
          <w:spacing w:val="-6"/>
          <w:sz w:val="24"/>
          <w:szCs w:val="24"/>
          <w:shd w:val="clear" w:fill="FFFFFE"/>
        </w:rPr>
        <w:t>（3） 具有履行合同所必须的设备和专业技术能力；</w:t>
      </w:r>
    </w:p>
    <w:p>
      <w:pPr>
        <w:spacing w:before="262" w:line="240" w:lineRule="auto"/>
        <w:ind w:firstLine="717"/>
        <w:rPr>
          <w:rFonts w:hint="eastAsia" w:ascii="宋体" w:hAnsi="宋体" w:eastAsia="宋体" w:cs="宋体"/>
          <w:spacing w:val="-6"/>
          <w:sz w:val="24"/>
          <w:szCs w:val="24"/>
          <w:shd w:val="clear" w:fill="FFFFFE"/>
        </w:rPr>
      </w:pPr>
      <w:r>
        <w:rPr>
          <w:rFonts w:hint="eastAsia" w:ascii="宋体" w:hAnsi="宋体" w:eastAsia="宋体" w:cs="宋体"/>
          <w:spacing w:val="-6"/>
          <w:sz w:val="24"/>
          <w:szCs w:val="24"/>
          <w:shd w:val="clear" w:fill="FFFFFE"/>
        </w:rPr>
        <w:t>（4） 有依法缴纳税收和社会保障资金的良好记录；</w:t>
      </w:r>
    </w:p>
    <w:p>
      <w:pPr>
        <w:spacing w:before="262" w:line="240" w:lineRule="auto"/>
        <w:ind w:firstLine="717"/>
        <w:rPr>
          <w:rFonts w:hint="eastAsia" w:ascii="宋体" w:hAnsi="宋体" w:eastAsia="宋体" w:cs="宋体"/>
          <w:spacing w:val="-6"/>
          <w:position w:val="19"/>
          <w:sz w:val="24"/>
          <w:szCs w:val="24"/>
          <w:shd w:val="clear" w:fill="FFFFFE"/>
        </w:rPr>
      </w:pPr>
      <w:r>
        <w:rPr>
          <w:rFonts w:hint="eastAsia" w:ascii="宋体" w:hAnsi="宋体" w:eastAsia="宋体" w:cs="宋体"/>
          <w:spacing w:val="-6"/>
          <w:position w:val="19"/>
          <w:sz w:val="24"/>
          <w:szCs w:val="24"/>
          <w:shd w:val="clear" w:fill="FFFFFE"/>
        </w:rPr>
        <w:t>（5） 参加政府采购活动前三年内,在经营活动中没有重大违法记录；</w:t>
      </w:r>
    </w:p>
    <w:p>
      <w:pPr>
        <w:spacing w:before="262" w:line="240" w:lineRule="auto"/>
        <w:ind w:firstLine="717"/>
        <w:rPr>
          <w:rFonts w:hint="eastAsia" w:ascii="宋体" w:hAnsi="宋体" w:eastAsia="宋体" w:cs="宋体"/>
          <w:spacing w:val="-6"/>
          <w:position w:val="19"/>
          <w:sz w:val="24"/>
          <w:szCs w:val="24"/>
          <w:shd w:val="clear" w:fill="FFFFFE"/>
        </w:rPr>
      </w:pPr>
      <w:r>
        <w:rPr>
          <w:rFonts w:hint="eastAsia" w:ascii="宋体" w:hAnsi="宋体" w:eastAsia="宋体" w:cs="宋体"/>
          <w:spacing w:val="-6"/>
          <w:position w:val="19"/>
          <w:sz w:val="24"/>
          <w:szCs w:val="24"/>
          <w:shd w:val="clear" w:fill="FFFFFE"/>
        </w:rPr>
        <w:t>（6） 法律、行政法规规定的其他条件。</w:t>
      </w:r>
    </w:p>
    <w:p>
      <w:pPr>
        <w:spacing w:before="262" w:line="499" w:lineRule="exact"/>
        <w:ind w:firstLine="717"/>
        <w:rPr>
          <w:rFonts w:hint="eastAsia" w:ascii="宋体" w:hAnsi="宋体" w:eastAsia="宋体" w:cs="宋体"/>
          <w:spacing w:val="-6"/>
          <w:position w:val="19"/>
          <w:sz w:val="24"/>
          <w:szCs w:val="24"/>
          <w:shd w:val="clear" w:fill="FFFFFE"/>
        </w:rPr>
      </w:pPr>
      <w:r>
        <w:rPr>
          <w:rFonts w:hint="eastAsia" w:ascii="宋体" w:hAnsi="宋体" w:eastAsia="宋体" w:cs="宋体"/>
          <w:spacing w:val="-6"/>
          <w:position w:val="19"/>
          <w:sz w:val="24"/>
          <w:szCs w:val="24"/>
          <w:shd w:val="clear" w:fill="FFFFFE"/>
        </w:rPr>
        <w:br w:type="page"/>
      </w:r>
    </w:p>
    <w:p>
      <w:pPr>
        <w:pStyle w:val="2"/>
        <w:spacing w:line="413" w:lineRule="auto"/>
        <w:jc w:val="center"/>
        <w:rPr>
          <w:rFonts w:hint="default" w:ascii="宋体" w:hAnsi="宋体" w:eastAsia="宋体" w:cs="宋体"/>
          <w:lang w:val="en-US"/>
        </w:rPr>
      </w:pPr>
      <w:r>
        <w:rPr>
          <w:rFonts w:hint="eastAsia" w:ascii="宋体" w:hAnsi="宋体" w:eastAsia="宋体" w:cs="宋体"/>
          <w:lang w:val="en-US" w:eastAsia="zh-CN"/>
        </w:rPr>
        <w:t>三、采购要求</w:t>
      </w:r>
    </w:p>
    <w:p>
      <w:pPr>
        <w:spacing w:before="81" w:after="81"/>
        <w:ind w:firstLine="0" w:firstLineChars="0"/>
        <w:jc w:val="center"/>
        <w:rPr>
          <w:rFonts w:hint="eastAsia" w:ascii="宋体" w:hAnsi="宋体" w:eastAsia="宋体" w:cs="宋体"/>
          <w:b/>
          <w:sz w:val="32"/>
          <w:szCs w:val="32"/>
        </w:rPr>
      </w:pPr>
      <w:r>
        <w:rPr>
          <w:rFonts w:hint="eastAsia" w:ascii="宋体" w:hAnsi="宋体" w:eastAsia="宋体" w:cs="宋体"/>
          <w:b/>
          <w:sz w:val="32"/>
          <w:szCs w:val="32"/>
        </w:rPr>
        <w:t>财政预算一体化升级及接口项目技术参数</w:t>
      </w:r>
    </w:p>
    <w:p>
      <w:pPr>
        <w:spacing w:before="81" w:after="81" w:line="360" w:lineRule="auto"/>
        <w:ind w:firstLine="463" w:firstLineChars="192"/>
        <w:jc w:val="left"/>
        <w:outlineLvl w:val="2"/>
        <w:rPr>
          <w:rFonts w:hint="eastAsia" w:ascii="宋体" w:hAnsi="宋体" w:eastAsia="宋体" w:cs="宋体"/>
          <w:b/>
          <w:bCs/>
          <w:sz w:val="24"/>
          <w:szCs w:val="24"/>
        </w:rPr>
      </w:pPr>
      <w:bookmarkStart w:id="2" w:name="_Hlk105482937"/>
      <w:bookmarkStart w:id="3" w:name="_Toc100137117"/>
      <w:r>
        <w:rPr>
          <w:rFonts w:hint="eastAsia" w:ascii="宋体" w:hAnsi="宋体" w:eastAsia="宋体" w:cs="宋体"/>
          <w:b/>
          <w:bCs/>
          <w:sz w:val="24"/>
          <w:szCs w:val="24"/>
        </w:rPr>
        <w:t>1、会计核算系统升级</w:t>
      </w:r>
    </w:p>
    <w:p>
      <w:pPr>
        <w:spacing w:before="81" w:after="81"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1.1、财务管理</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1.1.1、满足医疗机构日常基本财务核算工作中常用的凭证管理、往来核销管理、自定义转账、期末处理、常用账簿查询等业务要求，同时提供了现金流量分析及查询及政府会计业务的相关处理。</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1.1.2、支持凭证制单：包含凭证页面、凭证保存、凭证打印、凭证删除、凭证上张下张、出纳签字、凭证审核、冲销、查询、删除、作废、恢复、复制。支持凭证整理，检查断号和断号整理。</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1.1.3、系统提供包括凭证处理、账簿报表查询、账龄分析、期末处理及政府会计制度等医院日常全部财务核算功能，并与应收、应付系统、固定资产系统、现金管理系统、人力资源系统、物流系统等各业务系统一体化集成，保障财务信息与业务信息的高度同步与一致性，为医院决策层提供实时的财务管理信息。</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1.1.4、通过设置科目等查询条件，对不同维度组合的财务报表进行查询、预览、导出，报表包括科目余额表、试算平衡表、摘要汇总表、核算维度余额表、核算维度与科目组合表、差异明细表、差异调节表、差异项校验报表等。</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1.1.5、符合2019年1月1日起执行的《政府会计制度》要求，适应财务核算和预算核算平行记账方式，可自动生成差异，进行差异校验。</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1.1.6、支持建立灵活、适应医院组织架构兼并和调整的，多院区、多组织、多层次的财务管理体系，建立全局统一的财务业务基础数据，满足对各院区（组织）日常财务核算和财务管理需要，实现财务业务一体化。</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1.1.7、统一核算方式、会计科目、会计报表及其他财务基础档案的设定及按需向院区分发，支持各院区（组织）采用相同或不同的会计制度和会计政策。</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1.1.8、内部控制信息化，经济事项事前计划、事中执行、事后付款的审批通过系统传递，实现内部控制信息化管理。</w:t>
      </w:r>
    </w:p>
    <w:p>
      <w:pPr>
        <w:spacing w:before="81" w:after="81"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1.2、账套设置</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1.2.1、会计科目：根据会计制度自动生成标准会计科目，科目之间可以进行复制，录入期初余额的同时可以修改、增删科目，可以指定科目结转数累计至下年，可以自由设置科目性质、账簿形式、余额方向。</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1.2.2、提供科目导入与科目校验功能，自动修复常规错误。</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1.2.3、会计科目支持多辅助核算设置，辅助核算并可限定从辅助核算组取值。</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1.2.4、会计科目支持分组设置，通过分组可以进行账簿查询及数据采集匹配。</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1.2.5、期初余额：提供EXCEL导入科目借贷方累计数以及期初余额功能，自动试算平衡功能，可以随时打印科目表及科目期初数。</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1.2.6、支持年初和年中启用账套。</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1.2.7、凭证类别：自定义凭证类别，可分：现金凭证、银行凭证、药品凭证、往来凭证、分摊凭证、转账凭证等。</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1.2.8、货币设置：自定义设置货币属性，如：人民币、美元等。</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1.2.9、结算方式：自定义结算方式：如电汇、转账等。</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1.2.10、摘要库：自定义常用凭证摘要库，做账时节省打字时间。</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1.2.11、辅助核算管理：支持无限自定义辅助核算类别，如：财政专项、科研专项、教学专项、部门、往来客户、院区等；对辅助核算类别的属性栏目进行定义字段，并可以设置可填选项，规范数据录入标准。</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1.2.12、辅助核算自由分组：支持用户根据实际需要对辅助核算进行分组。分组支持无限级设计，组成员支持跨组归属设计。</w:t>
      </w:r>
    </w:p>
    <w:p>
      <w:pPr>
        <w:tabs>
          <w:tab w:val="left" w:pos="840"/>
          <w:tab w:val="left" w:leader="middleDot" w:pos="8820"/>
        </w:tabs>
        <w:spacing w:before="81" w:after="81" w:line="360" w:lineRule="auto"/>
        <w:ind w:firstLine="480"/>
        <w:rPr>
          <w:rFonts w:hint="eastAsia" w:ascii="宋体" w:hAnsi="宋体" w:eastAsia="宋体" w:cs="宋体"/>
          <w:sz w:val="24"/>
          <w:szCs w:val="24"/>
        </w:rPr>
      </w:pPr>
      <w:r>
        <w:rPr>
          <w:rFonts w:hint="eastAsia" w:ascii="宋体" w:hAnsi="宋体" w:eastAsia="宋体" w:cs="宋体"/>
          <w:sz w:val="24"/>
          <w:szCs w:val="24"/>
        </w:rPr>
        <w:t>1.2.13、支持反启用账套操作。</w:t>
      </w:r>
    </w:p>
    <w:p>
      <w:pPr>
        <w:tabs>
          <w:tab w:val="left" w:pos="840"/>
          <w:tab w:val="left" w:leader="middleDot" w:pos="8820"/>
        </w:tabs>
        <w:spacing w:before="81" w:after="81"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1.3、凭证管理</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1.3.1、满足财务日常的账务处理要求：期初录入、基础资料、凭证填制、出纳签字、凭证审核、记账、对账、结账、反结账、明细账、总账、辅助账、备查账、报表、查询等功能。系统能够满足预算执行、会计核算、成本归集一体化处理模式。</w:t>
      </w:r>
    </w:p>
    <w:p>
      <w:pPr>
        <w:spacing w:before="81" w:after="81"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1.3.2、系统具备自动生成凭证、手工填制凭证、EXCEL 表导入凭证功能；支持根据HIS收费系统、物资、药品、借款报销等系统自动生成凭证并提供自动凭证维护功能；系统需满足收入、材料、资产、药品、工资等向会计自动生成凭证功能。支持按新会计制度要求生成双分录凭证；支持自动识别填入现金流量项目；具有部门核算和项目核算的会计科目，在自动生成凭证时能根据数据来源自动识别填入部门或项目编码。3.2.3.3、查询、导出凭证 可根据时间区间、凭证号区间、金额区间、摘要等模糊查询凭证；可将凭证导出为 EXCEL表。 </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highlight w:val="none"/>
        </w:rPr>
        <w:t>1.3.</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、提供</w:t>
      </w:r>
      <w:r>
        <w:rPr>
          <w:rFonts w:hint="eastAsia" w:ascii="宋体" w:hAnsi="宋体" w:eastAsia="宋体" w:cs="宋体"/>
          <w:sz w:val="24"/>
          <w:szCs w:val="24"/>
        </w:rPr>
        <w:t>批量录入凭证扩展项目功能，包括可批量录入现金流量、凭证扩展项等。</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4</w:t>
      </w:r>
      <w:r>
        <w:rPr>
          <w:rFonts w:hint="eastAsia" w:ascii="宋体" w:hAnsi="宋体" w:eastAsia="宋体" w:cs="宋体"/>
          <w:sz w:val="24"/>
          <w:szCs w:val="24"/>
        </w:rPr>
        <w:t>、凭证模板：日常填制凭证的过程中，经常会有许多凭证完全相同或部分相同，如果将这些常用的凭证设置成模板，在填制会计凭证时可随时调用，必将大大提高业务处理的效率。</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5</w:t>
      </w:r>
      <w:r>
        <w:rPr>
          <w:rFonts w:hint="eastAsia" w:ascii="宋体" w:hAnsi="宋体" w:eastAsia="宋体" w:cs="宋体"/>
          <w:sz w:val="24"/>
          <w:szCs w:val="24"/>
        </w:rPr>
        <w:t>、提供自动整理凭证号功能。对于错号、漏号可自动整理。</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6</w:t>
      </w:r>
      <w:r>
        <w:rPr>
          <w:rFonts w:hint="eastAsia" w:ascii="宋体" w:hAnsi="宋体" w:eastAsia="宋体" w:cs="宋体"/>
          <w:sz w:val="24"/>
          <w:szCs w:val="24"/>
        </w:rPr>
        <w:t xml:space="preserve">、提供凭证分册功能，可以针对每月发生的所有会计凭证，进行自由筛选凭证号进行汇总，汇总科目级别可根据客户自行调整。并支持对已分册的凭证进行附件数量统计。 </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7</w:t>
      </w:r>
      <w:r>
        <w:rPr>
          <w:rFonts w:hint="eastAsia" w:ascii="宋体" w:hAnsi="宋体" w:eastAsia="宋体" w:cs="宋体"/>
          <w:sz w:val="24"/>
          <w:szCs w:val="24"/>
        </w:rPr>
        <w:t>、提供科目合并功能，合并后原科目的数据和辅助属性都转移到合并后的科目。会计科目可以随时增加下级明细科目进行拆分，在有发生额的情况下，发生额会自动转到新增的下级科目中。</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8</w:t>
      </w:r>
      <w:r>
        <w:rPr>
          <w:rFonts w:hint="eastAsia" w:ascii="宋体" w:hAnsi="宋体" w:eastAsia="宋体" w:cs="宋体"/>
          <w:sz w:val="24"/>
          <w:szCs w:val="24"/>
        </w:rPr>
        <w:t>、提供对凭证会计期间、凭证类别、分录编号、分录科目、分录借贷、辅助核算、遗漏现金流量等错误检查功能。</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9</w:t>
      </w:r>
      <w:r>
        <w:rPr>
          <w:rFonts w:hint="eastAsia" w:ascii="宋体" w:hAnsi="宋体" w:eastAsia="宋体" w:cs="宋体"/>
          <w:sz w:val="24"/>
          <w:szCs w:val="24"/>
        </w:rPr>
        <w:t>、支提供调整凭证号凭证，支持凭证号上下移动功能，并支持跨类别进行凭证号调整与复制凭证。</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0</w:t>
      </w:r>
      <w:r>
        <w:rPr>
          <w:rFonts w:hint="eastAsia" w:ascii="宋体" w:hAnsi="宋体" w:eastAsia="宋体" w:cs="宋体"/>
          <w:sz w:val="24"/>
          <w:szCs w:val="24"/>
        </w:rPr>
        <w:t>、提供从EXCEL文件导入生成凭证功能，支持一维表和二维表格式，并支持连续读入多个EXCEL合并生成一个凭证功能；导入数据时支持自动匹配外部名称功能，并支持自动保存对应关系，对应关系支持可编辑。</w:t>
      </w:r>
    </w:p>
    <w:p>
      <w:pPr>
        <w:spacing w:before="81" w:after="81"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1</w:t>
      </w:r>
      <w:r>
        <w:rPr>
          <w:rFonts w:hint="eastAsia" w:ascii="宋体" w:hAnsi="宋体" w:eastAsia="宋体" w:cs="宋体"/>
          <w:sz w:val="24"/>
          <w:szCs w:val="24"/>
        </w:rPr>
        <w:t>、提供从外部数据库接口自动采集数据生成凭证功能，外部数据库支持oracle\Sqlserver\Access 等通用数据库；数据库采集时支持回写功能。可调整数据源的存储过程或执行EXE程序进行状态回写等操作。</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2</w:t>
      </w:r>
      <w:r>
        <w:rPr>
          <w:rFonts w:hint="eastAsia" w:ascii="宋体" w:hAnsi="宋体" w:eastAsia="宋体" w:cs="宋体"/>
          <w:sz w:val="24"/>
          <w:szCs w:val="24"/>
        </w:rPr>
        <w:t>、提供凭证的引入引出操作。可把凭证分录引出到TXT或EXCEL文件。</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3</w:t>
      </w:r>
      <w:r>
        <w:rPr>
          <w:rFonts w:hint="eastAsia" w:ascii="宋体" w:hAnsi="宋体" w:eastAsia="宋体" w:cs="宋体"/>
          <w:sz w:val="24"/>
          <w:szCs w:val="24"/>
        </w:rPr>
        <w:t>、提供自动平衡检测设置功能，可在凭证保存时自动检测某些科目余额为负数，或现金流量不平等。</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4</w:t>
      </w:r>
      <w:r>
        <w:rPr>
          <w:rFonts w:hint="eastAsia" w:ascii="宋体" w:hAnsi="宋体" w:eastAsia="宋体" w:cs="宋体"/>
          <w:sz w:val="24"/>
          <w:szCs w:val="24"/>
        </w:rPr>
        <w:t>、提供会计科目与预算会计科目关联设置功能，财务会计凭证可以与预算会计凭证进行关联，可以从财务会计凭证自动或手动写入预算会计凭证。</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5</w:t>
      </w:r>
      <w:r>
        <w:rPr>
          <w:rFonts w:hint="eastAsia" w:ascii="宋体" w:hAnsi="宋体" w:eastAsia="宋体" w:cs="宋体"/>
          <w:sz w:val="24"/>
          <w:szCs w:val="24"/>
        </w:rPr>
        <w:t>、提供凭证附件管理功能，可以在录入凭证时上传各类电子附件。</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6</w:t>
      </w:r>
      <w:r>
        <w:rPr>
          <w:rFonts w:hint="eastAsia" w:ascii="宋体" w:hAnsi="宋体" w:eastAsia="宋体" w:cs="宋体"/>
          <w:sz w:val="24"/>
          <w:szCs w:val="24"/>
        </w:rPr>
        <w:t>、提供凭证缓存功能，动态保存凭证录入内容，防止死机、断电时凭证丢失。</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7</w:t>
      </w:r>
      <w:r>
        <w:rPr>
          <w:rFonts w:hint="eastAsia" w:ascii="宋体" w:hAnsi="宋体" w:eastAsia="宋体" w:cs="宋体"/>
          <w:sz w:val="24"/>
          <w:szCs w:val="24"/>
        </w:rPr>
        <w:t>、提供多种凭证打印模式。包括普通模式、同页模式、合并模式等，支持任何纸张定义设置，支持自动拼排。</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1.3.1</w:t>
      </w:r>
      <w:r>
        <w:rPr>
          <w:rFonts w:hint="eastAsia" w:ascii="宋体" w:hAnsi="宋体" w:eastAsia="宋体" w:cs="宋体"/>
          <w:sz w:val="24"/>
          <w:szCs w:val="24"/>
          <w:lang w:val="en-US" w:eastAsia="zh-CN"/>
        </w:rPr>
        <w:t>8</w:t>
      </w:r>
      <w:r>
        <w:rPr>
          <w:rFonts w:hint="eastAsia" w:ascii="宋体" w:hAnsi="宋体" w:eastAsia="宋体" w:cs="宋体"/>
          <w:sz w:val="24"/>
          <w:szCs w:val="24"/>
        </w:rPr>
        <w:t>、凭证审核支持填写审核意见。</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19</w:t>
      </w:r>
      <w:r>
        <w:rPr>
          <w:rFonts w:hint="eastAsia" w:ascii="宋体" w:hAnsi="宋体" w:eastAsia="宋体" w:cs="宋体"/>
          <w:sz w:val="24"/>
          <w:szCs w:val="24"/>
        </w:rPr>
        <w:t>、由报销单生成的凭证，在凭证中可直接查看报销单，包括报销单的附件等。</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en-US" w:eastAsia="zh-CN"/>
        </w:rPr>
        <w:t>0</w:t>
      </w:r>
      <w:r>
        <w:rPr>
          <w:rFonts w:hint="eastAsia" w:ascii="宋体" w:hAnsi="宋体" w:eastAsia="宋体" w:cs="宋体"/>
          <w:sz w:val="24"/>
          <w:szCs w:val="24"/>
        </w:rPr>
        <w:t>、提供凭证保存为临时文件功能，支持从临时文件导入凭证分录。</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en-US" w:eastAsia="zh-CN"/>
        </w:rPr>
        <w:t>1</w:t>
      </w:r>
      <w:r>
        <w:rPr>
          <w:rFonts w:hint="eastAsia" w:ascii="宋体" w:hAnsi="宋体" w:eastAsia="宋体" w:cs="宋体"/>
          <w:sz w:val="24"/>
          <w:szCs w:val="24"/>
        </w:rPr>
        <w:t>、提供凭证封面套打设计功能，</w:t>
      </w:r>
      <w:bookmarkStart w:id="4" w:name="_Hlk72177802"/>
      <w:r>
        <w:rPr>
          <w:rFonts w:hint="eastAsia" w:ascii="宋体" w:hAnsi="宋体" w:eastAsia="宋体" w:cs="宋体"/>
          <w:sz w:val="24"/>
          <w:szCs w:val="24"/>
        </w:rPr>
        <w:t>可自定义设计凭证的封面</w:t>
      </w:r>
      <w:bookmarkEnd w:id="4"/>
      <w:r>
        <w:rPr>
          <w:rFonts w:hint="eastAsia" w:ascii="宋体" w:hAnsi="宋体" w:eastAsia="宋体" w:cs="宋体"/>
          <w:sz w:val="24"/>
          <w:szCs w:val="24"/>
        </w:rPr>
        <w:t>。</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en-US" w:eastAsia="zh-CN"/>
        </w:rPr>
        <w:t>2</w:t>
      </w:r>
      <w:r>
        <w:rPr>
          <w:rFonts w:hint="eastAsia" w:ascii="宋体" w:hAnsi="宋体" w:eastAsia="宋体" w:cs="宋体"/>
          <w:sz w:val="24"/>
          <w:szCs w:val="24"/>
        </w:rPr>
        <w:t>、提高数据的准确性和及时性。</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en-US" w:eastAsia="zh-CN"/>
        </w:rPr>
        <w:t>3</w:t>
      </w:r>
      <w:r>
        <w:rPr>
          <w:rFonts w:hint="eastAsia" w:ascii="宋体" w:hAnsi="宋体" w:eastAsia="宋体" w:cs="宋体"/>
          <w:sz w:val="24"/>
          <w:szCs w:val="24"/>
        </w:rPr>
        <w:t>、由于从工作间至病人的路径中价格会产生小数点，要求小数点尽量多保留（小数点2位）</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1.3.2</w:t>
      </w:r>
      <w:r>
        <w:rPr>
          <w:rFonts w:hint="eastAsia" w:ascii="宋体" w:hAnsi="宋体" w:eastAsia="宋体" w:cs="宋体"/>
          <w:sz w:val="24"/>
          <w:szCs w:val="24"/>
          <w:lang w:val="en-US" w:eastAsia="zh-CN"/>
        </w:rPr>
        <w:t>4</w:t>
      </w:r>
      <w:r>
        <w:rPr>
          <w:rFonts w:hint="eastAsia" w:ascii="宋体" w:hAnsi="宋体" w:eastAsia="宋体" w:cs="宋体"/>
          <w:sz w:val="24"/>
          <w:szCs w:val="24"/>
        </w:rPr>
        <w:t>、账面和库存的计算累计方式要统一，盘点数据统一。</w:t>
      </w:r>
    </w:p>
    <w:p>
      <w:pPr>
        <w:tabs>
          <w:tab w:val="left" w:pos="993"/>
        </w:tabs>
        <w:spacing w:before="81" w:after="81" w:line="360" w:lineRule="auto"/>
        <w:ind w:firstLine="460" w:firstLineChars="192"/>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1.4、账簿管理</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1.4.1、独待的全仿真手工账簿显示：全仿真各类账簿，有三栏式总账、日记账、明细账，多栏式明细账，支持多栏账下还可再设三栏或多栏账。</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1.4.2、智能型栏宽控制：可以根据用户要求自由地设置栏宽，满足了不同打印纸型及超长显示和打印账簿摘要的需要。</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1.4.3、账簿支持红字显示，并可配置账簿的颜色样式。</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1.4.4、穿透式组合查询以及相关科目查询：不用退出账簿查询状态，即可显示账簿记录相关的凭证及其他资料，使会计人员在一个屏幕上就能了解相关的完整会计资料。</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1.4.5、组合式余额及发生额表查询：可以按照财务人员的要求，显示和打印各样式的科目余额表及客户余额表。</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1.4.6、余额表支持跨年度、跨期间显示。</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1.4.7、余额表中对科目支持转下级和转上级操作。</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1.4.8、余额表支持自定义操作，可以自定义会计科目生成余额表。</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1.4.9、提供辅助核算总账功能，可自定义查询科目和辅助核算，并生成二维表。</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1.4.10、提供日记账和辅助账功能。</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1.4.11、支持按凭证号汇总和按摘要汇总显示明细账的功能。</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1.4.12、支持按科目组进行查询账簿功能。</w:t>
      </w:r>
    </w:p>
    <w:p>
      <w:pPr>
        <w:tabs>
          <w:tab w:val="left" w:pos="993"/>
        </w:tabs>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1.5、往来业务管理</w:t>
      </w:r>
    </w:p>
    <w:p>
      <w:pPr>
        <w:tabs>
          <w:tab w:val="left" w:pos="993"/>
        </w:tabs>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1.5.1、供应商往来管理</w:t>
      </w:r>
    </w:p>
    <w:p>
      <w:pPr>
        <w:tabs>
          <w:tab w:val="left" w:pos="993"/>
        </w:tabs>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实现医院供应商往来款项（包括预付款项）管理，对采购物资、药品、设备的付款情况进行准确管理、分析。对付款情况及负债余额、发票付款历史信息以及供应商应付款余额信息等进行查询，并可追踪每笔应付业务。</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1.5.2、往来账对账、分析及坏账处理</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提供灵活的查询方式，可以按科目、按核算项目或者是按业务编号查询往来业务余额。提供账龄分析功能。支持手工或自动核销坏账、呆账,核销的坏账、呆账自动登记备查账。</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1.5.3、提供应收应付明细账及资料表。</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1.6、账务处理</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1.6.1、万能转账处理支持一对多、多对一、多对多的转账关系定义，提供取数、转出、转入等记账操作模式。</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1.6.2、支持辅助核算通配符功能。</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1.6.3、可以指定核算项目转账，可以指定币种转账，自动处理转账中外币分配问题。</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1.6.4、提供转总账科目转账功能；可以转科目余额也可以是借方或贷方发生额。</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1.6.5、万能转账中提供全新的科目取数概念并可以按比例设置公式结转相关科目。</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1.6.6、支持单个生成凭证和批量生成凭证操作功能。</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1.6.7、提供动态辅助核算组合取数设计，本取数功能支持从工资系统获取工资人数作为分配基数。并支持从账簿上提取数据，支持多辅助核算科目取数设计。</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1.6.8、提供批量组合操作，可以从上个月直接复制辅助核算定义。</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1.6.9、提供灵活的登账方式；可以指定日期范围登账，并且提供多次登账的功能。</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1.6.10、提供结账与反结账功能，并支持指定月份结账。</w:t>
      </w:r>
    </w:p>
    <w:p>
      <w:pPr>
        <w:tabs>
          <w:tab w:val="left" w:pos="840"/>
          <w:tab w:val="left" w:leader="middleDot" w:pos="8820"/>
        </w:tabs>
        <w:spacing w:before="81" w:after="81" w:line="360" w:lineRule="auto"/>
        <w:ind w:firstLine="424" w:firstLineChars="177"/>
        <w:rPr>
          <w:rFonts w:hint="eastAsia" w:ascii="宋体" w:hAnsi="宋体" w:eastAsia="宋体" w:cs="宋体"/>
          <w:sz w:val="24"/>
          <w:szCs w:val="24"/>
        </w:rPr>
      </w:pPr>
      <w:r>
        <w:rPr>
          <w:rFonts w:hint="eastAsia" w:ascii="宋体" w:hAnsi="宋体" w:eastAsia="宋体" w:cs="宋体"/>
          <w:sz w:val="24"/>
          <w:szCs w:val="24"/>
        </w:rPr>
        <w:t>1.6.11、提供待摊管理功能，可以根据待摊业务自动生成待摊凭证。</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1.7、报表管理</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1.7.1、提供类似Excel的风格的报表编制工具，可以从HRP的各业务系统自主选择取数，生成有固定样式的电子报表。</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1.7.2、提供动态报表管理功能，可自动生成动态行的报表。</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1.7.3、支持财政部门等上级主管单位规定的格式化的报表，如资产负债、收入支出表、现金流量表等，包括基础设置、报表模板管理、自定义报表、报表取数函数、表间勾稽关系和报表管理，支持自由定制报表的格式、类型，自动生成报表；支持各种类型的会计取数函数，支持各种关系的审核定义和汇总定义；可以自动生成报表、查询、审核、汇总；支持报表跨单位、跨账套取数，支持表间取数和表间审核。</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1.8、出纳业务</w:t>
      </w:r>
    </w:p>
    <w:p>
      <w:pPr>
        <w:spacing w:before="81" w:after="81" w:line="360" w:lineRule="auto"/>
        <w:ind w:firstLine="460" w:firstLineChars="192"/>
        <w:jc w:val="left"/>
        <w:rPr>
          <w:rFonts w:hint="eastAsia" w:ascii="宋体" w:hAnsi="宋体" w:eastAsia="宋体" w:cs="宋体"/>
          <w:sz w:val="24"/>
          <w:szCs w:val="24"/>
        </w:rPr>
      </w:pPr>
      <w:r>
        <w:rPr>
          <w:rFonts w:hint="eastAsia" w:ascii="宋体" w:hAnsi="宋体" w:eastAsia="宋体" w:cs="宋体"/>
          <w:sz w:val="24"/>
          <w:szCs w:val="24"/>
        </w:rPr>
        <w:t>满足出纳日常管理功能，现金银行出纳流水账登记、现金银行日记账管理、出纳对账、银行对账等日常工作处理；同时支持不同银行对账单导入的标准化静态接口。包括银行初始、日记账、出纳账登记、出纳对账、银行对账等信息。支持银医直联方便后期扩展。支持现金、银行日记账及支票、票据等动态追踪管理，支持银行对账单的导入和银行自动对账，支持根据会计凭证内容（往来单位、金额等）进行多家银行的支票、进账单等银行单据的单张或集中打印。支持从出纳序时账生成凭证，生成凭证时摘要还可以根据需要进行配置。</w:t>
      </w:r>
    </w:p>
    <w:p>
      <w:pPr>
        <w:spacing w:before="81" w:after="81" w:line="360" w:lineRule="auto"/>
        <w:ind w:firstLine="463" w:firstLineChars="192"/>
        <w:jc w:val="left"/>
        <w:outlineLvl w:val="2"/>
        <w:rPr>
          <w:rFonts w:hint="eastAsia" w:ascii="宋体" w:hAnsi="宋体" w:eastAsia="宋体" w:cs="宋体"/>
          <w:b/>
          <w:bCs/>
          <w:sz w:val="24"/>
          <w:szCs w:val="24"/>
        </w:rPr>
      </w:pPr>
      <w:r>
        <w:rPr>
          <w:rFonts w:hint="eastAsia" w:ascii="宋体" w:hAnsi="宋体" w:eastAsia="宋体" w:cs="宋体"/>
          <w:b/>
          <w:bCs/>
          <w:sz w:val="24"/>
          <w:szCs w:val="24"/>
        </w:rPr>
        <w:t>2、财政预算一体化接口技术要求</w:t>
      </w:r>
    </w:p>
    <w:p>
      <w:pPr>
        <w:bidi w:val="0"/>
        <w:ind w:firstLine="48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满足江西省财政厅《关于进一步做好预算管理一体化单位会计核算工作的通知》（赣财办【2021】16号文件）要求。</w:t>
      </w:r>
    </w:p>
    <w:bookmarkEnd w:id="2"/>
    <w:bookmarkEnd w:id="3"/>
    <w:p>
      <w:pPr>
        <w:rPr>
          <w:rFonts w:hint="eastAsia" w:ascii="宋体" w:hAnsi="宋体" w:eastAsia="宋体" w:cs="宋体"/>
          <w:color w:val="000000"/>
          <w:kern w:val="2"/>
          <w:sz w:val="28"/>
          <w:szCs w:val="28"/>
          <w:lang w:val="en-US" w:eastAsia="zh-CN" w:bidi="ar-SA"/>
        </w:rPr>
      </w:pPr>
      <w:bookmarkStart w:id="5" w:name="_GoBack"/>
      <w:bookmarkEnd w:id="5"/>
    </w:p>
    <w:sectPr>
      <w:headerReference r:id="rId3" w:type="default"/>
      <w:footerReference r:id="rId4"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341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rPr>
        <w:rFonts w:ascii="黑体" w:hAnsi="黑体" w:eastAsia="黑体"/>
      </w:rPr>
    </w:pPr>
  </w:p>
  <w:p>
    <w:pPr>
      <w:ind w:firstLine="420"/>
      <w:jc w:val="right"/>
    </w:pPr>
    <w:r>
      <w:rPr>
        <w:rFonts w:hint="eastAsia"/>
      </w:rPr>
      <w:t>XJ</w:t>
    </w:r>
    <w:r>
      <w:t>-</w:t>
    </w:r>
    <w:r>
      <w:rPr>
        <w:rFonts w:hint="eastAsia"/>
      </w:rPr>
      <w:t>K</w:t>
    </w:r>
    <w:r>
      <w:t>01-202</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5OTY0Zjc5ZjhkZTdmYzZhZDc0ZmI2YmFmMTUwNzEifQ=="/>
  </w:docVars>
  <w:rsids>
    <w:rsidRoot w:val="02293F89"/>
    <w:rsid w:val="02293F89"/>
    <w:rsid w:val="0C86431F"/>
    <w:rsid w:val="39AF5788"/>
    <w:rsid w:val="3AA514B9"/>
    <w:rsid w:val="6064356D"/>
    <w:rsid w:val="72C5694D"/>
    <w:rsid w:val="735824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outlineLvl w:val="0"/>
    </w:pPr>
    <w:rPr>
      <w:rFonts w:ascii="宋体"/>
      <w:sz w:val="28"/>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w:basedOn w:val="1"/>
    <w:qFormat/>
    <w:uiPriority w:val="0"/>
    <w:pPr>
      <w:ind w:firstLine="640" w:firstLineChars="200"/>
    </w:pPr>
    <w:rPr>
      <w:rFonts w:ascii="仿宋_GB2312" w:eastAsia="仿宋_GB2312"/>
      <w:sz w:val="32"/>
    </w:rPr>
  </w:style>
  <w:style w:type="paragraph" w:styleId="6">
    <w:name w:val="Body Text Indent 2"/>
    <w:basedOn w:val="1"/>
    <w:uiPriority w:val="0"/>
    <w:pPr>
      <w:ind w:firstLine="1040" w:firstLineChars="200"/>
      <w:jc w:val="center"/>
    </w:pPr>
    <w:rPr>
      <w:rFonts w:ascii="黑体" w:eastAsia="黑体"/>
      <w:sz w:val="52"/>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napToGrid w:val="0"/>
      <w:spacing w:line="520" w:lineRule="exact"/>
      <w:ind w:firstLine="570"/>
    </w:pPr>
    <w:rPr>
      <w:rFonts w:ascii="宋体" w:hAnsi="宋体"/>
      <w:sz w:val="32"/>
    </w:rPr>
  </w:style>
  <w:style w:type="character" w:styleId="11">
    <w:name w:val="page number"/>
    <w:qFormat/>
    <w:uiPriority w:val="0"/>
  </w:style>
  <w:style w:type="paragraph" w:customStyle="1" w:styleId="13">
    <w:name w:val="样式 正文（首行缩进两字） + 宋体 小四"/>
    <w:basedOn w:val="4"/>
    <w:qFormat/>
    <w:uiPriority w:val="0"/>
    <w:pPr>
      <w:spacing w:line="100" w:lineRule="atLeast"/>
      <w:ind w:firstLine="614" w:firstLineChars="192"/>
      <w:jc w:val="left"/>
    </w:pPr>
    <w:rPr>
      <w:rFonts w:ascii="仿宋_GB2312" w:hAnsi="宋体"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5104</Words>
  <Characters>5517</Characters>
  <Lines>0</Lines>
  <Paragraphs>0</Paragraphs>
  <TotalTime>0</TotalTime>
  <ScaleCrop>false</ScaleCrop>
  <LinksUpToDate>false</LinksUpToDate>
  <CharactersWithSpaces>5534</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2022-08-18T03:34:00Z</dcterms:created>
  <dc:creator>Leo</dc:creator>
  <cp:lastModifiedBy>Lenovo</cp:lastModifiedBy>
  <dcterms:modified xsi:type="dcterms:W3CDTF">2022-08-18T07:36:14Z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y fmtid="{D5CDD505-2E9C-101B-9397-08002B2CF9AE}" pid="3" name="ICV">
    <vt:lpwstr>ACC6596D8DDD4229B7F556DB244E78EB</vt:lpwstr>
  </property>
</Properties>
</file>