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default" w:asciiTheme="majorEastAsia" w:hAnsiTheme="majorEastAsia" w:eastAsiaTheme="majorEastAsia" w:cstheme="minorBidi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/>
          <w:bCs/>
          <w:kern w:val="2"/>
          <w:sz w:val="48"/>
          <w:szCs w:val="48"/>
          <w:lang w:val="en-US" w:eastAsia="zh-CN" w:bidi="ar-SA"/>
        </w:rPr>
        <w:t>评审因素</w:t>
      </w:r>
    </w:p>
    <w:tbl>
      <w:tblPr>
        <w:tblStyle w:val="3"/>
        <w:tblW w:w="86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9"/>
        <w:gridCol w:w="6621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1199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评审因素</w:t>
            </w:r>
          </w:p>
        </w:tc>
        <w:tc>
          <w:tcPr>
            <w:tcW w:w="6621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评分标准说明</w:t>
            </w:r>
          </w:p>
        </w:tc>
        <w:tc>
          <w:tcPr>
            <w:tcW w:w="840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价格</w:t>
            </w:r>
          </w:p>
        </w:tc>
        <w:tc>
          <w:tcPr>
            <w:tcW w:w="6621" w:type="dxa"/>
            <w:vAlign w:val="center"/>
          </w:tcPr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（1）投标报价超过采购预算的，投标无效，未超过采购预算的投标报价按以下公式进行计算。</w:t>
            </w:r>
          </w:p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（2）投标报价得分=（投标报价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Cs w:val="24"/>
              </w:rPr>
              <w:t>评标基准价）×10</w:t>
            </w:r>
          </w:p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注：满足招标文件要求且投标报价最低的投标报价为评标基准价。</w:t>
            </w:r>
          </w:p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本项目在评审阶段对小型和微型企业报价给予6%的扣除，用扣除后的价格参与评审。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460" w:lineRule="exact"/>
              <w:ind w:firstLine="211" w:firstLineChars="100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3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类似项目业绩</w:t>
            </w:r>
          </w:p>
        </w:tc>
        <w:tc>
          <w:tcPr>
            <w:tcW w:w="6621" w:type="dxa"/>
            <w:vAlign w:val="center"/>
          </w:tcPr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投标人独立承接过的类似项目业绩（三甲医院的护医疗辅助支持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服务类），每提供一份得</w:t>
            </w:r>
            <w:r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分，本项最高得</w:t>
            </w:r>
            <w:r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分。</w:t>
            </w:r>
          </w:p>
          <w:p>
            <w:pPr>
              <w:pStyle w:val="5"/>
              <w:spacing w:line="460" w:lineRule="exact"/>
              <w:jc w:val="left"/>
              <w:rPr>
                <w:rFonts w:hint="eastAsia" w:ascii="宋体" w:hAnsi="宋体" w:eastAsia="宋体" w:cs="宋体"/>
                <w:spacing w:val="-3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注：须提供合同复印件并加盖投标人公章，上述未提供，不予计分。</w:t>
            </w:r>
          </w:p>
        </w:tc>
        <w:tc>
          <w:tcPr>
            <w:tcW w:w="840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29" w:hRule="atLeast"/>
          <w:jc w:val="center"/>
        </w:trPr>
        <w:tc>
          <w:tcPr>
            <w:tcW w:w="1199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pacing w:val="-3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投标人体系认证</w:t>
            </w:r>
          </w:p>
        </w:tc>
        <w:tc>
          <w:tcPr>
            <w:tcW w:w="6621" w:type="dxa"/>
            <w:vAlign w:val="center"/>
          </w:tcPr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投标人具有有效期内的质量管理体系认证证书、环境管理体系认证证书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、职业健康安全管理体系认证证书，每提供一个得2分，本项最高得6分。</w:t>
            </w:r>
          </w:p>
          <w:p>
            <w:pPr>
              <w:snapToGrid w:val="0"/>
              <w:spacing w:line="460" w:lineRule="exact"/>
              <w:ind w:firstLine="482"/>
              <w:rPr>
                <w:rFonts w:hint="eastAsia" w:ascii="宋体" w:hAnsi="宋体" w:eastAsia="宋体" w:cs="宋体"/>
                <w:spacing w:val="-3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注：须提供上述证书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zh-TW"/>
              </w:rPr>
              <w:t>复印件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并加盖投标人公章。证书有效性在国家认证认可监督管理委员会官网（http://www.cnca.gov.cn/)可查，并提供截图，否则不予计分。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综合实力</w:t>
            </w:r>
          </w:p>
        </w:tc>
        <w:tc>
          <w:tcPr>
            <w:tcW w:w="6621" w:type="dxa"/>
            <w:vAlign w:val="center"/>
          </w:tcPr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2019年1月1日至今，投标人被税务部门评为A级纳税人的，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得3分；</w:t>
            </w:r>
            <w:r>
              <w:rPr>
                <w:rFonts w:hint="eastAsia" w:ascii="宋体" w:hAnsi="宋体" w:eastAsia="宋体" w:cs="宋体"/>
                <w:szCs w:val="24"/>
              </w:rPr>
              <w:t>连续两年及以上获得的，得5分；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其他不得分。</w:t>
            </w:r>
          </w:p>
          <w:p>
            <w:pPr>
              <w:snapToGrid w:val="0"/>
              <w:spacing w:line="460" w:lineRule="exact"/>
              <w:ind w:firstLine="482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注：须提供证书复印件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并</w:t>
            </w:r>
            <w:r>
              <w:rPr>
                <w:rFonts w:hint="eastAsia" w:ascii="宋体" w:hAnsi="宋体" w:eastAsia="宋体" w:cs="宋体"/>
                <w:b/>
                <w:kern w:val="0"/>
                <w:szCs w:val="24"/>
              </w:rPr>
              <w:t>加盖投标人公章，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否则不予计分</w:t>
            </w:r>
            <w:r>
              <w:rPr>
                <w:rFonts w:hint="eastAsia" w:ascii="宋体" w:hAnsi="宋体" w:eastAsia="宋体" w:cs="宋体"/>
                <w:b/>
                <w:color w:val="000000"/>
                <w:szCs w:val="24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6621" w:type="dxa"/>
            <w:vAlign w:val="center"/>
          </w:tcPr>
          <w:p>
            <w:pPr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投标人聘有专业法律顾问的，得3分；其他不得分。</w:t>
            </w:r>
          </w:p>
          <w:p>
            <w:pPr>
              <w:snapToGrid w:val="0"/>
              <w:spacing w:line="460" w:lineRule="exact"/>
              <w:ind w:firstLine="482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须提供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法律顾问合作合同或协议复印件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并</w:t>
            </w:r>
            <w:r>
              <w:rPr>
                <w:rFonts w:hint="eastAsia" w:ascii="宋体" w:hAnsi="宋体" w:eastAsia="宋体" w:cs="宋体"/>
                <w:b/>
                <w:kern w:val="0"/>
                <w:szCs w:val="24"/>
              </w:rPr>
              <w:t>加盖投标人公章，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否则不予计分</w:t>
            </w:r>
            <w:r>
              <w:rPr>
                <w:rFonts w:hint="eastAsia" w:ascii="宋体" w:hAnsi="宋体" w:eastAsia="宋体" w:cs="宋体"/>
                <w:b/>
                <w:color w:val="000000"/>
                <w:szCs w:val="24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6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6621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投标人同时为派遣的服务人员和服务对象（指患者）购买商业保险的，得5分；只为派遣的服务人员或服务对象（指患者）其中之一购买商业保险的，得2分；其他不得分。</w:t>
            </w:r>
          </w:p>
          <w:p>
            <w:pPr>
              <w:widowControl/>
              <w:tabs>
                <w:tab w:val="left" w:pos="456"/>
                <w:tab w:val="right" w:leader="dot" w:pos="9174"/>
              </w:tabs>
              <w:spacing w:line="460" w:lineRule="exact"/>
              <w:ind w:firstLine="482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注：须提供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4"/>
              </w:rPr>
              <w:t>保单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zh-TW"/>
              </w:rPr>
              <w:t>复印件</w:t>
            </w: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并加盖投标人公章，否则不予计分。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54" w:hRule="atLeast"/>
          <w:jc w:val="center"/>
        </w:trPr>
        <w:tc>
          <w:tcPr>
            <w:tcW w:w="1199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软件著作权</w:t>
            </w:r>
          </w:p>
        </w:tc>
        <w:tc>
          <w:tcPr>
            <w:tcW w:w="6621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2019年1月1日至今，投标人获得过国家版权局颁发的护理服务或医疗辅助支持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szCs w:val="24"/>
              </w:rPr>
              <w:t>相关方面软件著作权证书，每个得3分，本项最高得6分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。</w:t>
            </w:r>
          </w:p>
          <w:p>
            <w:pPr>
              <w:pStyle w:val="2"/>
              <w:spacing w:line="460" w:lineRule="exact"/>
              <w:ind w:firstLine="482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注：须提供证书复印件并加盖投标人公章，否则不予计分。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460" w:lineRule="exact"/>
              <w:ind w:firstLine="0" w:firstLineChars="0"/>
              <w:contextualSpacing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运作流程设计及组织服务方案</w:t>
            </w:r>
          </w:p>
        </w:tc>
        <w:tc>
          <w:tcPr>
            <w:tcW w:w="6621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根据投标人针对本项目服务需求做出的方案的科学性、可行性进行评审：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1、投标人针对项目服务需求做出的方案非常科学可行，能够高效顺利完成本项目，得10分。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2、投标人针对项目服务需求做出的方案较科学可行，能够完成本项目，得6分。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3、投标人针对项目服务需求做出的方案较一般，基本能够完成本项目，得3分。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4、投标人针对项目服务需求做出的方案较差，不能够顺利完成本项目的，得0分。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460" w:lineRule="exact"/>
              <w:ind w:firstLine="0" w:firstLineChars="0"/>
              <w:contextualSpacing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服务管理方案</w:t>
            </w:r>
          </w:p>
        </w:tc>
        <w:tc>
          <w:tcPr>
            <w:tcW w:w="6621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根据投标人对本项目提供的服务管理方案进行评审：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1、方案详尽、清晰、合理、满足并优于本项目的采购服务需求，得</w:t>
            </w: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2、方案合理、满足本项目的采购服务需求，得</w:t>
            </w: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3、方案较合理、基本满足本项目的采购服务需求，得5分。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4、方案不合理，低于或不满足本项目的采购服务需求，得0分。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工作人员培训及管理方案</w:t>
            </w:r>
          </w:p>
        </w:tc>
        <w:tc>
          <w:tcPr>
            <w:tcW w:w="6621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根据投标人对本项目提供的工作人员培训及管理方案进行评审：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1、投标人提供的工作人员培训及管理方案非常详细、完整，可行性高，得8分。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2、投标人提供的工作人员培训及管理方案较详细、完整，得5分。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3、投标人提供的工作人员培训及管理方案不够详细，可行性一般，得2分。</w:t>
            </w:r>
          </w:p>
          <w:p>
            <w:pPr>
              <w:adjustRightInd w:val="0"/>
              <w:snapToGrid w:val="0"/>
              <w:spacing w:line="46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4、投标人提供的工作人员培训及管理方案较差，不具备可行性，得0分。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snapToGrid w:val="0"/>
              <w:spacing w:line="45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质量控制及措施</w:t>
            </w:r>
          </w:p>
        </w:tc>
        <w:tc>
          <w:tcPr>
            <w:tcW w:w="6621" w:type="dxa"/>
          </w:tcPr>
          <w:p>
            <w:pPr>
              <w:adjustRightInd w:val="0"/>
              <w:snapToGrid w:val="0"/>
              <w:spacing w:line="45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根据投标人对本项目提供的质量控制及措施进行评审：</w:t>
            </w:r>
          </w:p>
          <w:p>
            <w:pPr>
              <w:adjustRightInd w:val="0"/>
              <w:snapToGrid w:val="0"/>
              <w:spacing w:line="45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1、投标人提供的质量控制及措施方案</w:t>
            </w:r>
            <w:r>
              <w:rPr>
                <w:rFonts w:hint="eastAsia" w:ascii="宋体" w:hAnsi="宋体" w:eastAsia="宋体" w:cs="宋体"/>
                <w:szCs w:val="24"/>
              </w:rPr>
              <w:t>非常详细、完整，可行性高，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得6分。</w:t>
            </w:r>
          </w:p>
          <w:p>
            <w:pPr>
              <w:adjustRightInd w:val="0"/>
              <w:snapToGrid w:val="0"/>
              <w:spacing w:line="45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2、投标人提供的质量控制及措施方案</w:t>
            </w:r>
            <w:r>
              <w:rPr>
                <w:rFonts w:hint="eastAsia" w:ascii="宋体" w:hAnsi="宋体" w:eastAsia="宋体" w:cs="宋体"/>
                <w:szCs w:val="24"/>
              </w:rPr>
              <w:t>较详细、完整，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得4分。</w:t>
            </w:r>
          </w:p>
          <w:p>
            <w:pPr>
              <w:adjustRightInd w:val="0"/>
              <w:snapToGrid w:val="0"/>
              <w:spacing w:line="450" w:lineRule="exact"/>
              <w:ind w:firstLine="48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3、投标人提供的质量控制及措施方案</w:t>
            </w:r>
            <w:r>
              <w:rPr>
                <w:rFonts w:hint="eastAsia" w:ascii="宋体" w:hAnsi="宋体" w:eastAsia="宋体" w:cs="宋体"/>
                <w:szCs w:val="24"/>
              </w:rPr>
              <w:t>不够详细，可行性一般，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得2分。</w:t>
            </w:r>
          </w:p>
          <w:p>
            <w:pPr>
              <w:adjustRightInd w:val="0"/>
              <w:snapToGrid w:val="0"/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4、投标人提供的质量控制及措施方案</w:t>
            </w:r>
            <w:r>
              <w:rPr>
                <w:rFonts w:hint="eastAsia" w:ascii="宋体" w:hAnsi="宋体" w:eastAsia="宋体" w:cs="宋体"/>
                <w:szCs w:val="24"/>
              </w:rPr>
              <w:t>较差，不具备可行性，</w:t>
            </w:r>
            <w:r>
              <w:rPr>
                <w:rFonts w:hint="eastAsia" w:ascii="宋体" w:hAnsi="宋体" w:eastAsia="宋体" w:cs="宋体"/>
                <w:kern w:val="0"/>
                <w:szCs w:val="24"/>
              </w:rPr>
              <w:t>得0分。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45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adjustRightInd w:val="0"/>
              <w:snapToGrid w:val="0"/>
              <w:spacing w:line="45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防止交叉感染措施</w:t>
            </w:r>
          </w:p>
        </w:tc>
        <w:tc>
          <w:tcPr>
            <w:tcW w:w="6621" w:type="dxa"/>
            <w:vAlign w:val="center"/>
          </w:tcPr>
          <w:p>
            <w:pPr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根据投标人提供的防止交叉感染措施的有效性、先进性、科学性进行评审：</w:t>
            </w:r>
          </w:p>
          <w:p>
            <w:pPr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1、防止交叉感染措施方案合理、有效，方法先进科学，完全符合实际需要的，得6分。</w:t>
            </w:r>
          </w:p>
          <w:p>
            <w:pPr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2、防止交叉感染措施方案比较合理，方法科学，能符合实际需要的，的4分。</w:t>
            </w:r>
          </w:p>
          <w:p>
            <w:pPr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3、防止交叉感染措施方案合理性一般，方法普通，基本符合实际需要的，得2分。</w:t>
            </w:r>
          </w:p>
          <w:p>
            <w:pPr>
              <w:spacing w:line="450" w:lineRule="exact"/>
              <w:ind w:firstLine="48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4、防止交叉感染措施方案欠缺合理性，方法不可行，不符合实际需要的，得0分。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450" w:lineRule="exact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450" w:lineRule="exact"/>
              <w:ind w:firstLine="0" w:firstLineChars="0"/>
              <w:contextualSpacing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应急预案</w:t>
            </w:r>
          </w:p>
        </w:tc>
        <w:tc>
          <w:tcPr>
            <w:tcW w:w="6621" w:type="dxa"/>
            <w:vAlign w:val="center"/>
          </w:tcPr>
          <w:p>
            <w:pPr>
              <w:pStyle w:val="7"/>
              <w:spacing w:line="45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根据投标人对本项目提供的应对应急、突发事件的响应措施和方案进行评审：</w:t>
            </w:r>
          </w:p>
          <w:p>
            <w:pPr>
              <w:pStyle w:val="7"/>
              <w:spacing w:line="45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1、响应措施科学到位、可行性高、并能提出合理化建议方案的，得10分。</w:t>
            </w:r>
          </w:p>
          <w:p>
            <w:pPr>
              <w:pStyle w:val="7"/>
              <w:spacing w:line="45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2、响应措施基本符合要求，能提出合理建议方案的，得6分。</w:t>
            </w:r>
          </w:p>
          <w:p>
            <w:pPr>
              <w:pStyle w:val="7"/>
              <w:spacing w:line="45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3、响应措施部分完善，能提出部分合理建议方案的，得3分。</w:t>
            </w:r>
          </w:p>
          <w:p>
            <w:pPr>
              <w:pStyle w:val="7"/>
              <w:spacing w:line="45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4、响应措施与要求有差距，不能提出合理化建议方案的，得0分。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45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820" w:type="dxa"/>
            <w:gridSpan w:val="2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合计</w:t>
            </w:r>
          </w:p>
        </w:tc>
        <w:tc>
          <w:tcPr>
            <w:tcW w:w="840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100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Dg3OTlmZDI5ODVkNzg5NGI5ZjFkOWI1ZjI1NjAifQ=="/>
  </w:docVars>
  <w:rsids>
    <w:rsidRoot w:val="00000000"/>
    <w:rsid w:val="764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正文缩进2格"/>
    <w:basedOn w:val="1"/>
    <w:next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2022-05-13T07:02:28Z</dcterms:created>
  <dc:creator>Administrator</dc:creator>
  <cp:lastModifiedBy>Administrator</cp:lastModifiedBy>
  <dcterms:modified xsi:type="dcterms:W3CDTF">2022-05-13T07:02:33Z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F19A2860C19047ADAF550E1DF6FC9880</vt:lpwstr>
  </property>
</Properties>
</file>